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10" w:rsidRPr="00C95110" w:rsidRDefault="00C95110" w:rsidP="00D11056">
      <w:pPr>
        <w:pStyle w:val="Heading1"/>
        <w:jc w:val="left"/>
      </w:pPr>
      <w:r>
        <w:t>Information for Staff – FB</w:t>
      </w:r>
      <w:r w:rsidR="00D11056">
        <w:t xml:space="preserve">T discount at </w:t>
      </w:r>
      <w:proofErr w:type="spellStart"/>
      <w:r w:rsidR="00D11056">
        <w:t>Alere</w:t>
      </w:r>
      <w:proofErr w:type="spellEnd"/>
      <w:r w:rsidR="00D11056">
        <w:t xml:space="preserve"> Restaurant and</w:t>
      </w:r>
      <w:r>
        <w:t xml:space="preserve"> Function Centre</w:t>
      </w:r>
    </w:p>
    <w:p w:rsidR="00C95110" w:rsidRDefault="00C95110" w:rsidP="00601C95">
      <w:pPr>
        <w:rPr>
          <w:rFonts w:ascii="Arial" w:hAnsi="Arial" w:cs="Arial"/>
          <w:iCs/>
        </w:rPr>
      </w:pPr>
    </w:p>
    <w:p w:rsidR="00745B99" w:rsidRDefault="00745B99" w:rsidP="0077245E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Our fantastic new </w:t>
      </w:r>
      <w:proofErr w:type="spellStart"/>
      <w:r>
        <w:rPr>
          <w:rFonts w:ascii="Arial" w:hAnsi="Arial" w:cs="Arial"/>
          <w:b/>
          <w:iCs/>
        </w:rPr>
        <w:t>Alere</w:t>
      </w:r>
      <w:proofErr w:type="spellEnd"/>
      <w:r>
        <w:rPr>
          <w:rFonts w:ascii="Arial" w:hAnsi="Arial" w:cs="Arial"/>
          <w:b/>
          <w:iCs/>
        </w:rPr>
        <w:t xml:space="preserve"> Restaurant and Function Centre are now even more appealing, with a Fringe Benefit Tax exemption making </w:t>
      </w:r>
      <w:proofErr w:type="spellStart"/>
      <w:r>
        <w:rPr>
          <w:rFonts w:ascii="Arial" w:hAnsi="Arial" w:cs="Arial"/>
          <w:b/>
          <w:iCs/>
        </w:rPr>
        <w:t>Alere</w:t>
      </w:r>
      <w:proofErr w:type="spellEnd"/>
      <w:r>
        <w:rPr>
          <w:rFonts w:ascii="Arial" w:hAnsi="Arial" w:cs="Arial"/>
          <w:b/>
          <w:iCs/>
        </w:rPr>
        <w:t xml:space="preserve"> 50% cheaper for corporate dining.  </w:t>
      </w:r>
    </w:p>
    <w:p w:rsidR="00745B99" w:rsidRDefault="00745B99" w:rsidP="0077245E">
      <w:pPr>
        <w:rPr>
          <w:rFonts w:ascii="Arial" w:hAnsi="Arial" w:cs="Arial"/>
          <w:b/>
          <w:iCs/>
        </w:rPr>
      </w:pPr>
    </w:p>
    <w:p w:rsidR="00F86AD9" w:rsidRPr="00F86AD9" w:rsidRDefault="00601C95" w:rsidP="00F86AD9">
      <w:pPr>
        <w:rPr>
          <w:rFonts w:ascii="Arial" w:hAnsi="Arial" w:cs="Arial"/>
          <w:iCs/>
        </w:rPr>
      </w:pPr>
      <w:r w:rsidRPr="00601C95">
        <w:rPr>
          <w:rFonts w:ascii="Arial" w:hAnsi="Arial" w:cs="Arial"/>
          <w:iCs/>
        </w:rPr>
        <w:t>The ATO has delivered a tax ruling t</w:t>
      </w:r>
      <w:r w:rsidR="00C95110">
        <w:rPr>
          <w:rFonts w:ascii="Arial" w:hAnsi="Arial" w:cs="Arial"/>
          <w:iCs/>
        </w:rPr>
        <w:t xml:space="preserve">o Flinders University </w:t>
      </w:r>
      <w:r w:rsidR="00F86AD9">
        <w:rPr>
          <w:rFonts w:ascii="Arial" w:hAnsi="Arial" w:cs="Arial"/>
          <w:iCs/>
        </w:rPr>
        <w:t>which exempts</w:t>
      </w:r>
      <w:r w:rsidRPr="00601C95">
        <w:rPr>
          <w:rFonts w:ascii="Arial" w:hAnsi="Arial" w:cs="Arial"/>
          <w:iCs/>
        </w:rPr>
        <w:t xml:space="preserve"> Fringe Benefits Taxation on corporate expenditure at </w:t>
      </w:r>
      <w:proofErr w:type="spellStart"/>
      <w:r w:rsidRPr="00601C95">
        <w:rPr>
          <w:rFonts w:ascii="Arial" w:hAnsi="Arial" w:cs="Arial"/>
          <w:iCs/>
        </w:rPr>
        <w:t>Alere</w:t>
      </w:r>
      <w:proofErr w:type="spellEnd"/>
      <w:r w:rsidR="00F86AD9">
        <w:rPr>
          <w:rFonts w:ascii="Arial" w:hAnsi="Arial" w:cs="Arial"/>
          <w:iCs/>
        </w:rPr>
        <w:t>, r</w:t>
      </w:r>
      <w:r w:rsidR="00F86AD9" w:rsidRPr="00F86AD9">
        <w:rPr>
          <w:rFonts w:ascii="Arial" w:hAnsi="Arial" w:cs="Arial"/>
          <w:iCs/>
        </w:rPr>
        <w:t xml:space="preserve">ealising a significant saving to individual areas and overall University budgets.  </w:t>
      </w:r>
    </w:p>
    <w:p w:rsidR="00C95110" w:rsidRDefault="00C95110" w:rsidP="00601C95">
      <w:pPr>
        <w:rPr>
          <w:rFonts w:ascii="Arial" w:hAnsi="Arial" w:cs="Arial"/>
          <w:iCs/>
        </w:rPr>
      </w:pPr>
    </w:p>
    <w:p w:rsidR="00601C95" w:rsidRPr="00601C95" w:rsidRDefault="00F86AD9" w:rsidP="00601C9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</w:t>
      </w:r>
      <w:r w:rsidR="00601C95" w:rsidRPr="00601C95">
        <w:rPr>
          <w:rFonts w:ascii="Arial" w:hAnsi="Arial" w:cs="Arial"/>
          <w:iCs/>
        </w:rPr>
        <w:t xml:space="preserve">ake full advantage of </w:t>
      </w:r>
      <w:r w:rsidR="00C95110">
        <w:rPr>
          <w:rFonts w:ascii="Arial" w:hAnsi="Arial" w:cs="Arial"/>
          <w:iCs/>
        </w:rPr>
        <w:t>th</w:t>
      </w:r>
      <w:r>
        <w:rPr>
          <w:rFonts w:ascii="Arial" w:hAnsi="Arial" w:cs="Arial"/>
          <w:iCs/>
        </w:rPr>
        <w:t>is reduction in cost by using our high-quality</w:t>
      </w:r>
      <w:r w:rsidR="00601C95" w:rsidRPr="00601C95">
        <w:rPr>
          <w:rFonts w:ascii="Arial" w:hAnsi="Arial" w:cs="Arial"/>
          <w:iCs/>
        </w:rPr>
        <w:t xml:space="preserve"> new facilities on Bedford Park campus when entertaining guests, hosting delegates, celebrating with </w:t>
      </w:r>
      <w:r>
        <w:rPr>
          <w:rFonts w:ascii="Arial" w:hAnsi="Arial" w:cs="Arial"/>
          <w:iCs/>
        </w:rPr>
        <w:t>staff or taking a lunch meeting</w:t>
      </w:r>
      <w:r w:rsidR="00601C95" w:rsidRPr="00601C95">
        <w:rPr>
          <w:rFonts w:ascii="Arial" w:hAnsi="Arial" w:cs="Arial"/>
          <w:iCs/>
        </w:rPr>
        <w:t>.</w:t>
      </w:r>
    </w:p>
    <w:p w:rsidR="00601C95" w:rsidRPr="00601C95" w:rsidRDefault="00601C95" w:rsidP="00601C95">
      <w:pPr>
        <w:rPr>
          <w:rFonts w:ascii="Arial" w:hAnsi="Arial" w:cs="Arial"/>
          <w:iCs/>
        </w:rPr>
      </w:pPr>
    </w:p>
    <w:p w:rsidR="00601C95" w:rsidRPr="00601C95" w:rsidRDefault="0077245E" w:rsidP="00601C9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Two-</w:t>
      </w:r>
      <w:r w:rsidR="00601C95" w:rsidRPr="00601C95">
        <w:rPr>
          <w:rFonts w:ascii="Arial" w:hAnsi="Arial" w:cs="Arial"/>
          <w:iCs/>
        </w:rPr>
        <w:t xml:space="preserve">hour </w:t>
      </w:r>
      <w:r w:rsidR="00C95110">
        <w:rPr>
          <w:rFonts w:ascii="Arial" w:hAnsi="Arial" w:cs="Arial"/>
          <w:iCs/>
        </w:rPr>
        <w:t>ticketed</w:t>
      </w:r>
      <w:r w:rsidR="00601C95" w:rsidRPr="00601C95">
        <w:rPr>
          <w:rFonts w:ascii="Arial" w:hAnsi="Arial" w:cs="Arial"/>
          <w:iCs/>
        </w:rPr>
        <w:t xml:space="preserve"> </w:t>
      </w:r>
      <w:r w:rsidR="00C95110">
        <w:rPr>
          <w:rFonts w:ascii="Arial" w:hAnsi="Arial" w:cs="Arial"/>
          <w:iCs/>
        </w:rPr>
        <w:t xml:space="preserve">parking is now available in car park 6 </w:t>
      </w:r>
      <w:r w:rsidR="00601C95" w:rsidRPr="00601C95">
        <w:rPr>
          <w:rFonts w:ascii="Arial" w:hAnsi="Arial" w:cs="Arial"/>
          <w:iCs/>
        </w:rPr>
        <w:t xml:space="preserve">which provides </w:t>
      </w:r>
      <w:r w:rsidR="00C95110">
        <w:rPr>
          <w:rFonts w:ascii="Arial" w:hAnsi="Arial" w:cs="Arial"/>
          <w:iCs/>
        </w:rPr>
        <w:t>convenient access</w:t>
      </w:r>
      <w:r w:rsidR="00601C95" w:rsidRPr="00601C95">
        <w:rPr>
          <w:rFonts w:ascii="Arial" w:hAnsi="Arial" w:cs="Arial"/>
          <w:iCs/>
        </w:rPr>
        <w:t xml:space="preserve"> to the Hub for invited guests and visitors.</w:t>
      </w:r>
    </w:p>
    <w:p w:rsidR="00C95110" w:rsidRDefault="00C95110" w:rsidP="00601C95">
      <w:pPr>
        <w:rPr>
          <w:rFonts w:ascii="Arial" w:hAnsi="Arial" w:cs="Arial"/>
          <w:iCs/>
        </w:rPr>
      </w:pPr>
    </w:p>
    <w:p w:rsidR="00601C95" w:rsidRPr="00601C95" w:rsidRDefault="00C95110" w:rsidP="00601C9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</w:t>
      </w:r>
      <w:r w:rsidR="00601C95" w:rsidRPr="00601C95">
        <w:rPr>
          <w:rFonts w:ascii="Arial" w:hAnsi="Arial" w:cs="Arial"/>
          <w:iCs/>
        </w:rPr>
        <w:t xml:space="preserve">efer </w:t>
      </w:r>
      <w:r w:rsidR="00DE4806">
        <w:rPr>
          <w:rFonts w:ascii="Arial" w:hAnsi="Arial" w:cs="Arial"/>
          <w:iCs/>
        </w:rPr>
        <w:t>below</w:t>
      </w:r>
      <w:r w:rsidR="00601C95" w:rsidRPr="00601C95">
        <w:rPr>
          <w:rFonts w:ascii="Arial" w:hAnsi="Arial" w:cs="Arial"/>
          <w:iCs/>
        </w:rPr>
        <w:t xml:space="preserve"> for the full conditions of the exemption.  </w:t>
      </w:r>
    </w:p>
    <w:p w:rsidR="004C667A" w:rsidRPr="00601C95" w:rsidRDefault="004C667A">
      <w:pPr>
        <w:rPr>
          <w:rFonts w:ascii="Arial" w:hAnsi="Arial" w:cs="Arial"/>
        </w:rPr>
      </w:pPr>
    </w:p>
    <w:p w:rsidR="00601C95" w:rsidRPr="00C95110" w:rsidRDefault="00C95110" w:rsidP="00601C95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C</w:t>
      </w:r>
      <w:r w:rsidR="00601C95" w:rsidRPr="00C95110">
        <w:rPr>
          <w:rFonts w:ascii="Arial" w:hAnsi="Arial" w:cs="Arial"/>
          <w:b/>
          <w:bCs/>
          <w:i/>
          <w:sz w:val="22"/>
          <w:szCs w:val="22"/>
        </w:rPr>
        <w:t>onditio</w:t>
      </w:r>
      <w:r>
        <w:rPr>
          <w:rFonts w:ascii="Arial" w:hAnsi="Arial" w:cs="Arial"/>
          <w:b/>
          <w:bCs/>
          <w:i/>
          <w:sz w:val="22"/>
          <w:szCs w:val="22"/>
        </w:rPr>
        <w:t>ns for exemption</w:t>
      </w:r>
      <w:r w:rsidR="00601C95" w:rsidRPr="00C95110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601C95" w:rsidRPr="00C95110" w:rsidRDefault="00601C95" w:rsidP="00601C95">
      <w:pPr>
        <w:pStyle w:val="Default"/>
        <w:rPr>
          <w:rFonts w:ascii="Arial" w:hAnsi="Arial" w:cs="Arial"/>
          <w:i/>
          <w:sz w:val="22"/>
          <w:szCs w:val="22"/>
        </w:rPr>
      </w:pPr>
      <w:r w:rsidRPr="00C95110">
        <w:rPr>
          <w:rFonts w:ascii="Arial" w:hAnsi="Arial" w:cs="Arial"/>
          <w:i/>
          <w:sz w:val="22"/>
          <w:szCs w:val="22"/>
        </w:rPr>
        <w:t xml:space="preserve">Each of the following conditions must be satisfied for the FBT exemption to apply. </w:t>
      </w:r>
    </w:p>
    <w:p w:rsidR="00601C95" w:rsidRPr="00C95110" w:rsidRDefault="00601C95" w:rsidP="00601C95">
      <w:pPr>
        <w:pStyle w:val="Default"/>
        <w:rPr>
          <w:rFonts w:ascii="Arial" w:hAnsi="Arial" w:cs="Arial"/>
          <w:i/>
          <w:sz w:val="22"/>
          <w:szCs w:val="22"/>
        </w:rPr>
      </w:pPr>
    </w:p>
    <w:p w:rsidR="00601C95" w:rsidRPr="00C95110" w:rsidRDefault="00601C95" w:rsidP="00601C95">
      <w:pPr>
        <w:pStyle w:val="Defaul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C95110">
        <w:rPr>
          <w:rFonts w:ascii="Arial" w:hAnsi="Arial" w:cs="Arial"/>
          <w:i/>
          <w:sz w:val="22"/>
          <w:szCs w:val="22"/>
        </w:rPr>
        <w:t xml:space="preserve">The food and drinks must be sourced from </w:t>
      </w:r>
      <w:proofErr w:type="spellStart"/>
      <w:r w:rsidRPr="00C95110">
        <w:rPr>
          <w:rFonts w:ascii="Arial" w:hAnsi="Arial" w:cs="Arial"/>
          <w:i/>
          <w:sz w:val="22"/>
          <w:szCs w:val="22"/>
        </w:rPr>
        <w:t>Alere</w:t>
      </w:r>
      <w:proofErr w:type="spellEnd"/>
      <w:r w:rsidRPr="00C95110">
        <w:rPr>
          <w:rFonts w:ascii="Arial" w:hAnsi="Arial" w:cs="Arial"/>
          <w:i/>
          <w:sz w:val="22"/>
          <w:szCs w:val="22"/>
        </w:rPr>
        <w:t xml:space="preserve"> whether for dining in, at the function centre or catered (the purpose of the event </w:t>
      </w:r>
      <w:r w:rsidR="00C95110">
        <w:rPr>
          <w:rFonts w:ascii="Arial" w:hAnsi="Arial" w:cs="Arial"/>
          <w:i/>
          <w:sz w:val="22"/>
          <w:szCs w:val="22"/>
        </w:rPr>
        <w:t xml:space="preserve">can be to entertain staff, </w:t>
      </w:r>
      <w:r w:rsidRPr="00C95110">
        <w:rPr>
          <w:rFonts w:ascii="Arial" w:hAnsi="Arial" w:cs="Arial"/>
          <w:i/>
          <w:sz w:val="22"/>
          <w:szCs w:val="22"/>
        </w:rPr>
        <w:t xml:space="preserve">clients or </w:t>
      </w:r>
      <w:r w:rsidR="00C95110">
        <w:rPr>
          <w:rFonts w:ascii="Arial" w:hAnsi="Arial" w:cs="Arial"/>
          <w:i/>
          <w:sz w:val="22"/>
          <w:szCs w:val="22"/>
        </w:rPr>
        <w:t>other</w:t>
      </w:r>
      <w:r w:rsidRPr="00C95110">
        <w:rPr>
          <w:rFonts w:ascii="Arial" w:hAnsi="Arial" w:cs="Arial"/>
          <w:i/>
          <w:sz w:val="22"/>
          <w:szCs w:val="22"/>
        </w:rPr>
        <w:t xml:space="preserve"> business purposes). </w:t>
      </w:r>
    </w:p>
    <w:p w:rsidR="00601C95" w:rsidRPr="00C95110" w:rsidRDefault="00601C95" w:rsidP="00601C95">
      <w:pPr>
        <w:pStyle w:val="Default"/>
        <w:numPr>
          <w:ilvl w:val="0"/>
          <w:numId w:val="1"/>
        </w:numPr>
        <w:spacing w:after="39"/>
        <w:rPr>
          <w:rFonts w:ascii="Arial" w:hAnsi="Arial" w:cs="Arial"/>
          <w:i/>
          <w:sz w:val="22"/>
          <w:szCs w:val="22"/>
        </w:rPr>
      </w:pPr>
      <w:r w:rsidRPr="00C95110">
        <w:rPr>
          <w:rFonts w:ascii="Arial" w:hAnsi="Arial" w:cs="Arial"/>
          <w:i/>
          <w:sz w:val="22"/>
          <w:szCs w:val="22"/>
        </w:rPr>
        <w:t xml:space="preserve">The food and drinks must be consumed on University premises. </w:t>
      </w:r>
      <w:r w:rsidR="00C95110">
        <w:rPr>
          <w:rFonts w:ascii="Arial" w:hAnsi="Arial" w:cs="Arial"/>
          <w:i/>
          <w:iCs/>
          <w:sz w:val="22"/>
          <w:szCs w:val="22"/>
        </w:rPr>
        <w:t>I</w:t>
      </w:r>
      <w:r w:rsidRPr="00C95110">
        <w:rPr>
          <w:rFonts w:ascii="Arial" w:hAnsi="Arial" w:cs="Arial"/>
          <w:i/>
          <w:iCs/>
          <w:sz w:val="22"/>
          <w:szCs w:val="22"/>
        </w:rPr>
        <w:t>n cases where the food and drinks are to be taken away and consumed outside of University premises, please seek further advice from the Finance Department.</w:t>
      </w:r>
    </w:p>
    <w:p w:rsidR="00601C95" w:rsidRPr="00C95110" w:rsidRDefault="00601C95" w:rsidP="00601C95">
      <w:pPr>
        <w:pStyle w:val="Default"/>
        <w:numPr>
          <w:ilvl w:val="0"/>
          <w:numId w:val="1"/>
        </w:numPr>
        <w:spacing w:after="39"/>
        <w:rPr>
          <w:rFonts w:ascii="Arial" w:hAnsi="Arial" w:cs="Arial"/>
          <w:i/>
          <w:sz w:val="22"/>
          <w:szCs w:val="22"/>
        </w:rPr>
      </w:pPr>
      <w:r w:rsidRPr="00C95110">
        <w:rPr>
          <w:rFonts w:ascii="Arial" w:hAnsi="Arial" w:cs="Arial"/>
          <w:i/>
          <w:sz w:val="22"/>
          <w:szCs w:val="22"/>
        </w:rPr>
        <w:t xml:space="preserve">The food and drinks must be consumed on a “working day”. A working day is a day in which the relevant staff performed employment duties and can include weekends and public holidays. </w:t>
      </w:r>
    </w:p>
    <w:p w:rsidR="00601C95" w:rsidRPr="00C95110" w:rsidRDefault="00601C95" w:rsidP="00601C95">
      <w:pPr>
        <w:pStyle w:val="Defaul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C95110">
        <w:rPr>
          <w:rFonts w:ascii="Arial" w:hAnsi="Arial" w:cs="Arial"/>
          <w:i/>
          <w:sz w:val="22"/>
          <w:szCs w:val="22"/>
        </w:rPr>
        <w:t xml:space="preserve">The cost of the food and drinks must be paid with a corporate credit card or via an inter-departmental charge. The food and drinks </w:t>
      </w:r>
      <w:r w:rsidRPr="00C95110">
        <w:rPr>
          <w:rFonts w:ascii="Arial" w:hAnsi="Arial" w:cs="Arial"/>
          <w:b/>
          <w:bCs/>
          <w:i/>
          <w:sz w:val="22"/>
          <w:szCs w:val="22"/>
        </w:rPr>
        <w:t xml:space="preserve">CANNOT </w:t>
      </w:r>
      <w:r w:rsidRPr="00C95110">
        <w:rPr>
          <w:rFonts w:ascii="Arial" w:hAnsi="Arial" w:cs="Arial"/>
          <w:i/>
          <w:sz w:val="22"/>
          <w:szCs w:val="22"/>
        </w:rPr>
        <w:t xml:space="preserve">be paid for using the employee’s personal credit card and then reimbursed by the University. </w:t>
      </w:r>
    </w:p>
    <w:p w:rsidR="00601C95" w:rsidRPr="00C95110" w:rsidRDefault="00601C95" w:rsidP="00601C95">
      <w:pPr>
        <w:pStyle w:val="Default"/>
        <w:rPr>
          <w:rFonts w:ascii="Arial" w:hAnsi="Arial" w:cs="Arial"/>
          <w:i/>
          <w:sz w:val="22"/>
          <w:szCs w:val="22"/>
        </w:rPr>
      </w:pPr>
    </w:p>
    <w:p w:rsidR="00601C95" w:rsidRPr="001903A7" w:rsidRDefault="001903A7" w:rsidP="00601C95">
      <w:pPr>
        <w:pStyle w:val="Default"/>
        <w:rPr>
          <w:rFonts w:ascii="Arial" w:hAnsi="Arial" w:cs="Arial"/>
          <w:sz w:val="22"/>
          <w:szCs w:val="22"/>
        </w:rPr>
      </w:pPr>
      <w:r w:rsidRPr="001903A7">
        <w:rPr>
          <w:rFonts w:ascii="Arial" w:hAnsi="Arial" w:cs="Arial"/>
          <w:sz w:val="22"/>
          <w:szCs w:val="22"/>
        </w:rPr>
        <w:t>Example cost saving with FBT exemption applied:</w:t>
      </w:r>
    </w:p>
    <w:p w:rsidR="001903A7" w:rsidRPr="001903A7" w:rsidRDefault="001903A7" w:rsidP="00601C95">
      <w:pPr>
        <w:pStyle w:val="Default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2905"/>
        <w:gridCol w:w="4127"/>
        <w:gridCol w:w="2691"/>
      </w:tblGrid>
      <w:tr w:rsidR="00601C95" w:rsidTr="00601C95">
        <w:trPr>
          <w:trHeight w:val="510"/>
        </w:trPr>
        <w:tc>
          <w:tcPr>
            <w:tcW w:w="2905" w:type="dxa"/>
            <w:tcBorders>
              <w:top w:val="nil"/>
              <w:left w:val="nil"/>
            </w:tcBorders>
          </w:tcPr>
          <w:p w:rsidR="00601C95" w:rsidRDefault="00601C95" w:rsidP="00601C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903A7" w:rsidRDefault="001903A7" w:rsidP="00601C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7" w:type="dxa"/>
          </w:tcPr>
          <w:p w:rsidR="00601C95" w:rsidRPr="00601C95" w:rsidRDefault="00601C95" w:rsidP="00601C9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01C95">
              <w:rPr>
                <w:rFonts w:ascii="Arial" w:hAnsi="Arial" w:cs="Arial"/>
                <w:b/>
                <w:sz w:val="22"/>
                <w:szCs w:val="22"/>
              </w:rPr>
              <w:t>Alere</w:t>
            </w:r>
            <w:proofErr w:type="spellEnd"/>
            <w:r w:rsidRPr="00601C95">
              <w:rPr>
                <w:rFonts w:ascii="Arial" w:hAnsi="Arial" w:cs="Arial"/>
                <w:b/>
                <w:sz w:val="22"/>
                <w:szCs w:val="22"/>
              </w:rPr>
              <w:t xml:space="preserve"> Restaurant &amp; Function Centre</w:t>
            </w:r>
          </w:p>
        </w:tc>
        <w:tc>
          <w:tcPr>
            <w:tcW w:w="2691" w:type="dxa"/>
          </w:tcPr>
          <w:p w:rsidR="00601C95" w:rsidRPr="00601C95" w:rsidRDefault="00601C95" w:rsidP="00601C9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01C95">
              <w:rPr>
                <w:rFonts w:ascii="Arial" w:hAnsi="Arial" w:cs="Arial"/>
                <w:b/>
                <w:sz w:val="22"/>
                <w:szCs w:val="22"/>
              </w:rPr>
              <w:t>Other venues</w:t>
            </w:r>
          </w:p>
        </w:tc>
      </w:tr>
      <w:tr w:rsidR="00601C95" w:rsidTr="00601C95">
        <w:trPr>
          <w:trHeight w:val="244"/>
        </w:trPr>
        <w:tc>
          <w:tcPr>
            <w:tcW w:w="2905" w:type="dxa"/>
            <w:tcBorders>
              <w:left w:val="nil"/>
            </w:tcBorders>
          </w:tcPr>
          <w:p w:rsidR="00601C95" w:rsidRDefault="00601C95" w:rsidP="00601C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of food and drinks</w:t>
            </w:r>
          </w:p>
        </w:tc>
        <w:tc>
          <w:tcPr>
            <w:tcW w:w="4127" w:type="dxa"/>
          </w:tcPr>
          <w:p w:rsidR="00601C95" w:rsidRDefault="00601C95" w:rsidP="00601C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$5,500</w:t>
            </w:r>
          </w:p>
        </w:tc>
        <w:tc>
          <w:tcPr>
            <w:tcW w:w="2691" w:type="dxa"/>
          </w:tcPr>
          <w:p w:rsidR="00601C95" w:rsidRDefault="00601C95" w:rsidP="00601C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$5,500</w:t>
            </w:r>
          </w:p>
        </w:tc>
      </w:tr>
      <w:tr w:rsidR="00601C95" w:rsidTr="00601C95">
        <w:trPr>
          <w:trHeight w:val="255"/>
        </w:trPr>
        <w:tc>
          <w:tcPr>
            <w:tcW w:w="2905" w:type="dxa"/>
            <w:tcBorders>
              <w:left w:val="nil"/>
            </w:tcBorders>
          </w:tcPr>
          <w:p w:rsidR="00601C95" w:rsidRDefault="00601C95" w:rsidP="00601C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GST credit</w:t>
            </w:r>
          </w:p>
        </w:tc>
        <w:tc>
          <w:tcPr>
            <w:tcW w:w="4127" w:type="dxa"/>
          </w:tcPr>
          <w:p w:rsidR="00601C95" w:rsidRDefault="00601C95" w:rsidP="00601C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$500</w:t>
            </w:r>
          </w:p>
        </w:tc>
        <w:tc>
          <w:tcPr>
            <w:tcW w:w="2691" w:type="dxa"/>
          </w:tcPr>
          <w:p w:rsidR="00601C95" w:rsidRDefault="00601C95" w:rsidP="00601C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$500</w:t>
            </w:r>
          </w:p>
        </w:tc>
      </w:tr>
      <w:tr w:rsidR="00601C95" w:rsidTr="00601C95">
        <w:trPr>
          <w:trHeight w:val="255"/>
        </w:trPr>
        <w:tc>
          <w:tcPr>
            <w:tcW w:w="2905" w:type="dxa"/>
            <w:tcBorders>
              <w:left w:val="nil"/>
            </w:tcBorders>
          </w:tcPr>
          <w:p w:rsidR="00601C95" w:rsidRDefault="00601C95" w:rsidP="00601C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FBT</w:t>
            </w:r>
          </w:p>
        </w:tc>
        <w:tc>
          <w:tcPr>
            <w:tcW w:w="4127" w:type="dxa"/>
          </w:tcPr>
          <w:p w:rsidR="00601C95" w:rsidRDefault="00601C95" w:rsidP="00601C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Nil</w:t>
            </w:r>
          </w:p>
        </w:tc>
        <w:tc>
          <w:tcPr>
            <w:tcW w:w="2691" w:type="dxa"/>
          </w:tcPr>
          <w:p w:rsidR="00601C95" w:rsidRDefault="00601C95" w:rsidP="00601C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$5,784</w:t>
            </w:r>
          </w:p>
        </w:tc>
      </w:tr>
      <w:tr w:rsidR="00601C95" w:rsidTr="00601C95">
        <w:trPr>
          <w:trHeight w:val="244"/>
        </w:trPr>
        <w:tc>
          <w:tcPr>
            <w:tcW w:w="2905" w:type="dxa"/>
            <w:tcBorders>
              <w:left w:val="nil"/>
              <w:bottom w:val="nil"/>
            </w:tcBorders>
          </w:tcPr>
          <w:p w:rsidR="00601C95" w:rsidRPr="00601C95" w:rsidRDefault="00601C95" w:rsidP="00601C9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01C95">
              <w:rPr>
                <w:rFonts w:ascii="Arial" w:hAnsi="Arial" w:cs="Arial"/>
                <w:b/>
                <w:sz w:val="22"/>
                <w:szCs w:val="22"/>
              </w:rPr>
              <w:t>Total cost to University</w:t>
            </w:r>
          </w:p>
        </w:tc>
        <w:tc>
          <w:tcPr>
            <w:tcW w:w="4127" w:type="dxa"/>
          </w:tcPr>
          <w:p w:rsidR="00601C95" w:rsidRPr="00601C95" w:rsidRDefault="00601C95" w:rsidP="00601C9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01C95">
              <w:rPr>
                <w:rFonts w:ascii="Arial" w:hAnsi="Arial" w:cs="Arial"/>
                <w:b/>
                <w:sz w:val="22"/>
                <w:szCs w:val="22"/>
              </w:rPr>
              <w:t>$5,000</w:t>
            </w:r>
          </w:p>
        </w:tc>
        <w:tc>
          <w:tcPr>
            <w:tcW w:w="2691" w:type="dxa"/>
          </w:tcPr>
          <w:p w:rsidR="00601C95" w:rsidRPr="00601C95" w:rsidRDefault="00601C95" w:rsidP="00601C9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01C95">
              <w:rPr>
                <w:rFonts w:ascii="Arial" w:hAnsi="Arial" w:cs="Arial"/>
                <w:b/>
                <w:sz w:val="22"/>
                <w:szCs w:val="22"/>
              </w:rPr>
              <w:t>$10,784</w:t>
            </w:r>
          </w:p>
        </w:tc>
      </w:tr>
    </w:tbl>
    <w:p w:rsidR="00601C95" w:rsidRDefault="00601C95" w:rsidP="00DE4806">
      <w:bookmarkStart w:id="0" w:name="_GoBack"/>
      <w:bookmarkEnd w:id="0"/>
    </w:p>
    <w:sectPr w:rsidR="00601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445D"/>
    <w:multiLevelType w:val="hybridMultilevel"/>
    <w:tmpl w:val="BFC2263A"/>
    <w:lvl w:ilvl="0" w:tplc="125E27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A0BE3"/>
    <w:multiLevelType w:val="hybridMultilevel"/>
    <w:tmpl w:val="45EE3D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95"/>
    <w:rsid w:val="001903A7"/>
    <w:rsid w:val="004C667A"/>
    <w:rsid w:val="005D1F1D"/>
    <w:rsid w:val="00601C95"/>
    <w:rsid w:val="00745B99"/>
    <w:rsid w:val="0077245E"/>
    <w:rsid w:val="00C95110"/>
    <w:rsid w:val="00D11056"/>
    <w:rsid w:val="00DE4806"/>
    <w:rsid w:val="00F8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95"/>
    <w:pPr>
      <w:spacing w:after="0" w:line="240" w:lineRule="auto"/>
      <w:jc w:val="left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line="252" w:lineRule="auto"/>
      <w:jc w:val="both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line="252" w:lineRule="auto"/>
      <w:jc w:val="both"/>
      <w:outlineLvl w:val="6"/>
    </w:pPr>
    <w:rPr>
      <w:rFonts w:asciiTheme="minorHAnsi" w:hAnsiTheme="minorHAnsi" w:cstheme="min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line="252" w:lineRule="auto"/>
      <w:jc w:val="both"/>
      <w:outlineLvl w:val="7"/>
    </w:pPr>
    <w:rPr>
      <w:rFonts w:asciiTheme="minorHAnsi" w:hAnsiTheme="minorHAnsi" w:cstheme="minorBidi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line="252" w:lineRule="auto"/>
      <w:jc w:val="both"/>
      <w:outlineLvl w:val="8"/>
    </w:pPr>
    <w:rPr>
      <w:rFonts w:asciiTheme="minorHAnsi" w:hAnsiTheme="minorHAnsi" w:cstheme="min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pPr>
      <w:spacing w:after="160" w:line="252" w:lineRule="auto"/>
      <w:jc w:val="both"/>
    </w:pPr>
    <w:rPr>
      <w:rFonts w:ascii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customStyle="1" w:styleId="Default">
    <w:name w:val="Default"/>
    <w:rsid w:val="00601C95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0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51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4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95"/>
    <w:pPr>
      <w:spacing w:after="0" w:line="240" w:lineRule="auto"/>
      <w:jc w:val="left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line="252" w:lineRule="auto"/>
      <w:jc w:val="both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line="252" w:lineRule="auto"/>
      <w:jc w:val="both"/>
      <w:outlineLvl w:val="6"/>
    </w:pPr>
    <w:rPr>
      <w:rFonts w:asciiTheme="minorHAnsi" w:hAnsiTheme="minorHAnsi" w:cstheme="min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line="252" w:lineRule="auto"/>
      <w:jc w:val="both"/>
      <w:outlineLvl w:val="7"/>
    </w:pPr>
    <w:rPr>
      <w:rFonts w:asciiTheme="minorHAnsi" w:hAnsiTheme="minorHAnsi" w:cstheme="minorBidi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line="252" w:lineRule="auto"/>
      <w:jc w:val="both"/>
      <w:outlineLvl w:val="8"/>
    </w:pPr>
    <w:rPr>
      <w:rFonts w:asciiTheme="minorHAnsi" w:hAnsiTheme="minorHAnsi" w:cstheme="min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pPr>
      <w:spacing w:after="160" w:line="252" w:lineRule="auto"/>
      <w:jc w:val="both"/>
    </w:pPr>
    <w:rPr>
      <w:rFonts w:ascii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customStyle="1" w:styleId="Default">
    <w:name w:val="Default"/>
    <w:rsid w:val="00601C95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0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51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CDD99-02DD-0547-8C9D-74E7B275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McGrath</dc:creator>
  <cp:keywords/>
  <dc:description/>
  <cp:lastModifiedBy>Jenny Clift</cp:lastModifiedBy>
  <cp:revision>2</cp:revision>
  <dcterms:created xsi:type="dcterms:W3CDTF">2017-03-29T23:48:00Z</dcterms:created>
  <dcterms:modified xsi:type="dcterms:W3CDTF">2017-03-29T23:48:00Z</dcterms:modified>
</cp:coreProperties>
</file>